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40A" w:rsidRPr="00025AA8" w:rsidRDefault="00963259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25640A" w:rsidRPr="00025AA8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50453F" w:rsidRPr="00025AA8" w:rsidRDefault="0050453F" w:rsidP="005045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0453F" w:rsidRPr="00025AA8" w:rsidRDefault="0050453F" w:rsidP="0050453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25AA8">
        <w:rPr>
          <w:rFonts w:ascii="IRBadr" w:hAnsi="IRBadr" w:cs="IRBadr"/>
          <w:sz w:val="28"/>
          <w:rtl/>
        </w:rPr>
        <w:fldChar w:fldCharType="begin"/>
      </w:r>
      <w:r w:rsidRPr="00025AA8">
        <w:rPr>
          <w:rFonts w:ascii="IRBadr" w:hAnsi="IRBadr" w:cs="IRBadr"/>
          <w:sz w:val="28"/>
          <w:rtl/>
        </w:rPr>
        <w:instrText xml:space="preserve"> </w:instrText>
      </w:r>
      <w:r w:rsidRPr="00025AA8">
        <w:rPr>
          <w:rFonts w:ascii="IRBadr" w:hAnsi="IRBadr" w:cs="IRBadr"/>
          <w:sz w:val="28"/>
        </w:rPr>
        <w:instrText>TOC</w:instrText>
      </w:r>
      <w:r w:rsidRPr="00025AA8">
        <w:rPr>
          <w:rFonts w:ascii="IRBadr" w:hAnsi="IRBadr" w:cs="IRBadr"/>
          <w:sz w:val="28"/>
          <w:rtl/>
        </w:rPr>
        <w:instrText xml:space="preserve"> \</w:instrText>
      </w:r>
      <w:r w:rsidRPr="00025AA8">
        <w:rPr>
          <w:rFonts w:ascii="IRBadr" w:hAnsi="IRBadr" w:cs="IRBadr"/>
          <w:sz w:val="28"/>
        </w:rPr>
        <w:instrText>o "</w:instrText>
      </w:r>
      <w:r w:rsidRPr="00025AA8">
        <w:rPr>
          <w:rFonts w:ascii="IRBadr" w:hAnsi="IRBadr" w:cs="IRBadr"/>
          <w:sz w:val="28"/>
          <w:rtl/>
        </w:rPr>
        <w:instrText>1-4</w:instrText>
      </w:r>
      <w:r w:rsidRPr="00025AA8">
        <w:rPr>
          <w:rFonts w:ascii="IRBadr" w:hAnsi="IRBadr" w:cs="IRBadr"/>
          <w:sz w:val="28"/>
        </w:rPr>
        <w:instrText>" \h \z \u</w:instrText>
      </w:r>
      <w:r w:rsidRPr="00025AA8">
        <w:rPr>
          <w:rFonts w:ascii="IRBadr" w:hAnsi="IRBadr" w:cs="IRBadr"/>
          <w:sz w:val="28"/>
          <w:rtl/>
        </w:rPr>
        <w:instrText xml:space="preserve"> </w:instrText>
      </w:r>
      <w:r w:rsidRPr="00025AA8">
        <w:rPr>
          <w:rFonts w:ascii="IRBadr" w:hAnsi="IRBadr" w:cs="IRBadr"/>
          <w:sz w:val="28"/>
          <w:rtl/>
        </w:rPr>
        <w:fldChar w:fldCharType="separate"/>
      </w:r>
      <w:hyperlink w:anchor="_Toc427751993" w:history="1">
        <w:r w:rsidRPr="00025AA8">
          <w:rPr>
            <w:rStyle w:val="Hyperlink"/>
            <w:rFonts w:ascii="IRBadr" w:hAnsi="IRBadr" w:cs="IRBadr"/>
            <w:noProof/>
            <w:rtl/>
          </w:rPr>
          <w:t>حد محارب</w:t>
        </w:r>
        <w:r w:rsidRPr="00025AA8">
          <w:rPr>
            <w:rFonts w:ascii="IRBadr" w:hAnsi="IRBadr" w:cs="IRBadr"/>
            <w:noProof/>
            <w:webHidden/>
          </w:rPr>
          <w:tab/>
        </w:r>
        <w:r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025AA8">
          <w:rPr>
            <w:rFonts w:ascii="IRBadr" w:hAnsi="IRBadr" w:cs="IRBadr"/>
            <w:noProof/>
            <w:webHidden/>
          </w:rPr>
          <w:instrText xml:space="preserve"> PAGEREF _Toc427751993 \h </w:instrText>
        </w:r>
        <w:r w:rsidRPr="00025AA8">
          <w:rPr>
            <w:rStyle w:val="Hyperlink"/>
            <w:rFonts w:ascii="IRBadr" w:hAnsi="IRBadr" w:cs="IRBadr"/>
            <w:noProof/>
            <w:rtl/>
          </w:rPr>
        </w:r>
        <w:r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025AA8">
          <w:rPr>
            <w:rFonts w:ascii="IRBadr" w:hAnsi="IRBadr" w:cs="IRBadr"/>
            <w:noProof/>
            <w:webHidden/>
          </w:rPr>
          <w:t>2</w:t>
        </w:r>
        <w:r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4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مستندات حکم مرتد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_Toc427751994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2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5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روایات طایفه اول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_Toc427751995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2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6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اول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_Toc427751996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2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7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دوم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_Toc427751997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3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8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روایات طایفه دوم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_Toc427751998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3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99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اول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_Toc427751999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3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2000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_Toc427752000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4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2001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دوم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_Toc427752001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4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2002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سوم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_Toc427752002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5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3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روایات طایفه سوم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_Toc427752003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5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4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اول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_Toc427752004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5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5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دوم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_Toc427752005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6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6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سوم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_Toc427752006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6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7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_Toc427752007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6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8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حکم مرتد فطری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_Toc427752008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7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26558F" w:rsidP="0050453F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2009" w:history="1">
        <w:r w:rsidR="0050453F" w:rsidRPr="00025AA8">
          <w:rPr>
            <w:rStyle w:val="Hyperlink"/>
            <w:rFonts w:ascii="IRBadr" w:hAnsi="IRBadr" w:cs="IRBadr"/>
            <w:noProof/>
            <w:rtl/>
          </w:rPr>
          <w:t>مراد از عدم پذیرش توبه</w:t>
        </w:r>
        <w:r w:rsidR="0050453F" w:rsidRPr="00025AA8">
          <w:rPr>
            <w:rFonts w:ascii="IRBadr" w:hAnsi="IRBadr" w:cs="IRBadr"/>
            <w:noProof/>
            <w:webHidden/>
          </w:rPr>
          <w:tab/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0453F" w:rsidRPr="00025AA8">
          <w:rPr>
            <w:rFonts w:ascii="IRBadr" w:hAnsi="IRBadr" w:cs="IRBadr"/>
            <w:noProof/>
            <w:webHidden/>
          </w:rPr>
          <w:instrText xml:space="preserve"> PAGEREF _Toc427752009 \h </w:instrText>
        </w:r>
        <w:r w:rsidR="0050453F" w:rsidRPr="00025AA8">
          <w:rPr>
            <w:rStyle w:val="Hyperlink"/>
            <w:rFonts w:ascii="IRBadr" w:hAnsi="IRBadr" w:cs="IRBadr"/>
            <w:noProof/>
            <w:rtl/>
          </w:rPr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0453F" w:rsidRPr="00025AA8">
          <w:rPr>
            <w:rFonts w:ascii="IRBadr" w:hAnsi="IRBadr" w:cs="IRBadr"/>
            <w:noProof/>
            <w:webHidden/>
          </w:rPr>
          <w:t>7</w:t>
        </w:r>
        <w:r w:rsidR="0050453F" w:rsidRPr="00025AA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0453F" w:rsidRPr="00025AA8" w:rsidRDefault="0050453F" w:rsidP="005045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25AA8" w:rsidRDefault="00025AA8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751993"/>
      <w:r>
        <w:rPr>
          <w:rFonts w:ascii="IRBadr" w:hAnsi="IRBadr" w:cs="IRBadr"/>
          <w:rtl/>
        </w:rPr>
        <w:br w:type="page"/>
      </w:r>
    </w:p>
    <w:p w:rsidR="0025640A" w:rsidRPr="00025AA8" w:rsidRDefault="0025640A" w:rsidP="006561FD">
      <w:pPr>
        <w:pStyle w:val="Heading1"/>
        <w:rPr>
          <w:rFonts w:ascii="IRBadr" w:hAnsi="IRBadr" w:cs="IRBadr"/>
          <w:rtl/>
        </w:rPr>
      </w:pPr>
      <w:r w:rsidRPr="00025AA8">
        <w:rPr>
          <w:rFonts w:ascii="IRBadr" w:hAnsi="IRBadr" w:cs="IRBadr"/>
          <w:rtl/>
        </w:rPr>
        <w:lastRenderedPageBreak/>
        <w:t>حد محارب</w:t>
      </w:r>
      <w:bookmarkEnd w:id="0"/>
    </w:p>
    <w:p w:rsidR="0025640A" w:rsidRPr="00025AA8" w:rsidRDefault="0025640A" w:rsidP="006561FD">
      <w:pPr>
        <w:pStyle w:val="Heading1"/>
        <w:rPr>
          <w:rFonts w:ascii="IRBadr" w:hAnsi="IRBadr" w:cs="IRBadr"/>
          <w:rtl/>
        </w:rPr>
      </w:pPr>
      <w:bookmarkStart w:id="1" w:name="_Toc427751994"/>
      <w:r w:rsidRPr="00025AA8">
        <w:rPr>
          <w:rFonts w:ascii="IRBadr" w:hAnsi="IRBadr" w:cs="IRBadr"/>
          <w:rtl/>
        </w:rPr>
        <w:t>مستندات حکم مرتد</w:t>
      </w:r>
      <w:bookmarkEnd w:id="1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روایاتی که در قبال مرتد وجود دارد،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چند دسته تقسیم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. در ظاهر امر شاید این روایات به صورتی متعارض با یکدیگر نشان داده شود. روایات در اینجا حداقل به سه طایفه تقسیم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؛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که به نحوی مطلق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گفته‌اند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مرتد باید کشته شود و بدون اینکه توبه کند یا از او پذیرفته شود،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مورد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حد قرار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این روایات ملی و فطری فرقی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فرد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به‌محض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ارتداد کشته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طایفه دوم روایات دقیقاً در نقطه مقابل به سر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و قائل است که به نحو مطلق چه ملی و چه فطری مورد استتابه قرار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توبه کرد پذیرفته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و الا کشته خواهد شد.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طایفه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سوم نیز روایاتی است که بین فطری و ملی تفصیل قائل است.</w:t>
      </w:r>
    </w:p>
    <w:p w:rsidR="0025640A" w:rsidRPr="00025AA8" w:rsidRDefault="0025640A" w:rsidP="006561FD">
      <w:pPr>
        <w:pStyle w:val="Heading1"/>
        <w:rPr>
          <w:rFonts w:ascii="IRBadr" w:hAnsi="IRBadr" w:cs="IRBadr"/>
          <w:rtl/>
        </w:rPr>
      </w:pPr>
      <w:bookmarkStart w:id="2" w:name="_Toc427751995"/>
      <w:r w:rsidRPr="00025AA8">
        <w:rPr>
          <w:rFonts w:ascii="IRBadr" w:hAnsi="IRBadr" w:cs="IRBadr"/>
          <w:rtl/>
        </w:rPr>
        <w:t>روایات طایفه اول</w:t>
      </w:r>
      <w:bookmarkEnd w:id="2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این روایات در ابواب حد مرتد، باب اول،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حدیث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اول، صفحه 544 وسائل جلد هیجده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25640A" w:rsidRPr="00025AA8" w:rsidRDefault="0025640A" w:rsidP="006561FD">
      <w:pPr>
        <w:pStyle w:val="Heading1"/>
        <w:rPr>
          <w:rFonts w:ascii="IRBadr" w:hAnsi="IRBadr" w:cs="IRBadr"/>
          <w:rtl/>
        </w:rPr>
      </w:pPr>
      <w:bookmarkStart w:id="3" w:name="_Toc427751996"/>
      <w:r w:rsidRPr="00025AA8">
        <w:rPr>
          <w:rFonts w:ascii="IRBadr" w:hAnsi="IRBadr" w:cs="IRBadr"/>
          <w:rtl/>
        </w:rPr>
        <w:t>روایت اول</w:t>
      </w:r>
      <w:bookmarkEnd w:id="3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روایت اول معتبر و رجال آن همگی از صحاح و موثق هستند؛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رَوَ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الْحَسَنُ بْنُ مَحْبُوبٍ عَنْ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وبَ عَنْ مُحَمَّدِ بْنِ مُسْلِمٍ عَنْ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 عَوْرَةُ الْمُؤْمِنِ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الْمُؤْمِنِ حَرَامٌ وَ قَالَ مَنِ اطَّلَعَ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مُؤْمِنٍ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مَنْزِلِهِ فَعَ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نَاهُ مُبَاحَتَانِ لِلْمُؤْمِنِ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 وَ مَنْ دَمَرَ 1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مُؤْمِنٍ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مَنْزِلِهِ بِغَ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رِإِذْنِه فَدَمُهُ مُبَاحٌ لِلْمُؤْمِنِ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تِلْ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الْحَالِ وَ مَنْ جَحَدَ نَبِ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اً مُرْسَلًا نُبُوَّتَهُ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ذَّبَهُ فَدَمُهُ مُبَاحٌ» 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به اطلاق می‌فرماید، کسی که پیامبری را تکفیر کند خون او مباح است.</w:t>
      </w:r>
    </w:p>
    <w:p w:rsidR="0025640A" w:rsidRPr="00025AA8" w:rsidRDefault="0025640A" w:rsidP="006561FD">
      <w:pPr>
        <w:pStyle w:val="Heading1"/>
        <w:rPr>
          <w:rFonts w:ascii="IRBadr" w:hAnsi="IRBadr" w:cs="IRBadr"/>
          <w:rtl/>
        </w:rPr>
      </w:pPr>
      <w:bookmarkStart w:id="5" w:name="_Toc427751997"/>
      <w:r w:rsidRPr="00025AA8">
        <w:rPr>
          <w:rFonts w:ascii="IRBadr" w:hAnsi="IRBadr" w:cs="IRBadr"/>
          <w:rtl/>
        </w:rPr>
        <w:lastRenderedPageBreak/>
        <w:t>روایت دوم</w:t>
      </w:r>
      <w:bookmarkEnd w:id="5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روایت دوم باز سند معتبری دارد؛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«الْحَسَنُ بْنُ مَحْبُوبٍ عَنِ الْعَلَاءِ بْنِ رَزِ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نٍ عَنْ مُحَمَّدِ بْنِ مُسْلِمٍ قَالَ: سَأَلْتُ أَبَا جَعْفَرٍ ع عَنِ الْمُرْتَدِّ فَقَالَ مَنْ رَغِبَ عَنِ الْإِسْلَامِ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فَرَ بِمَا أُنْزِلَ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مُحَمَّدٍ ص بَعْدَ إِسْلَامِهِ فَلَا تَوْبَةَ لَهُ وَ قَدْ وَجَبَ قَتْلُهُ وَ بَانَتْ مِنْهُ امْرَأَتُهُ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قْسَمُ مَالُهُ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وُلْدِهِ.»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در اینجا نیز اطلاق وجود دارد.</w:t>
      </w:r>
    </w:p>
    <w:p w:rsidR="0025640A" w:rsidRPr="00025AA8" w:rsidRDefault="0025640A" w:rsidP="006561FD">
      <w:pPr>
        <w:pStyle w:val="Heading2"/>
        <w:rPr>
          <w:rFonts w:ascii="IRBadr" w:hAnsi="IRBadr" w:cs="IRBadr"/>
          <w:rtl/>
        </w:rPr>
      </w:pPr>
      <w:bookmarkStart w:id="6" w:name="_Toc427751998"/>
      <w:r w:rsidRPr="00025AA8">
        <w:rPr>
          <w:rFonts w:ascii="IRBadr" w:hAnsi="IRBadr" w:cs="IRBadr"/>
          <w:rtl/>
        </w:rPr>
        <w:t>روایات طایفه دوم</w:t>
      </w:r>
      <w:bookmarkEnd w:id="6"/>
    </w:p>
    <w:p w:rsidR="0025640A" w:rsidRPr="00025AA8" w:rsidRDefault="0025640A" w:rsidP="006561FD">
      <w:pPr>
        <w:pStyle w:val="Heading2"/>
        <w:rPr>
          <w:rFonts w:ascii="IRBadr" w:hAnsi="IRBadr" w:cs="IRBadr"/>
          <w:rtl/>
        </w:rPr>
      </w:pPr>
      <w:bookmarkStart w:id="7" w:name="_Toc427751999"/>
      <w:r w:rsidRPr="00025AA8">
        <w:rPr>
          <w:rFonts w:ascii="IRBadr" w:hAnsi="IRBadr" w:cs="IRBadr"/>
          <w:rtl/>
        </w:rPr>
        <w:t>روایت اول</w:t>
      </w:r>
      <w:bookmarkEnd w:id="7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سند این روایت نیز سند معتبری است.</w:t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«عَلِ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بْنُ إِبْرَاهِ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مَ عَنْ أَبِ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هِ عَنِ ابْنِ مَحْبُوبٍ عَنْ غَ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رِ وَاحِدٍ مِنْ أَصْحَابِنَا عَنْ أَبِ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جَعْفَرٍ وَ أَبِ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فِ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الْمُرْتَدِّ 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سْتَتَابُ فَإِنْ تَابَ وَ إِلَّا قُتِلَ وَ الْمَرْأَةِ إِذَا ارْتَدَّتْ عَنِ الْإِسْلَامِ اسْتُتِ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بَتْ فَإِنْ تَابَتْ وَ رَجَعَتْ وَ إِلَّا خُلِّدَتْ فِ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السِّجْنِ وَ ضُ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قَ عَلَ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هَا فِ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حبس‌ها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.</w:t>
      </w:r>
      <w:r w:rsidR="0051189D"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025AA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25AA8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25640A" w:rsidRPr="00025AA8" w:rsidRDefault="0025640A" w:rsidP="006561FD">
      <w:pPr>
        <w:pStyle w:val="Heading2"/>
        <w:rPr>
          <w:rFonts w:ascii="IRBadr" w:hAnsi="IRBadr" w:cs="IRBadr"/>
          <w:rtl/>
        </w:rPr>
      </w:pPr>
      <w:bookmarkStart w:id="8" w:name="_Toc427752000"/>
      <w:r w:rsidRPr="00025AA8">
        <w:rPr>
          <w:rFonts w:ascii="IRBadr" w:hAnsi="IRBadr" w:cs="IRBadr"/>
          <w:rtl/>
        </w:rPr>
        <w:t>بررسی روایت</w:t>
      </w:r>
      <w:bookmarkEnd w:id="8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در این روایت اسم راوی آخر آورده نشده است،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چون دارد از بسیاری از اصحاب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نقل‌شده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است، اطمینان است که بین آن‌ها حداقل یکی از روات مشهور و معتبر وجود داشته باشد.</w:t>
      </w:r>
    </w:p>
    <w:p w:rsidR="0025640A" w:rsidRPr="00025AA8" w:rsidRDefault="0025640A" w:rsidP="006561FD">
      <w:pPr>
        <w:pStyle w:val="Heading2"/>
        <w:rPr>
          <w:rFonts w:ascii="IRBadr" w:hAnsi="IRBadr" w:cs="IRBadr"/>
          <w:rtl/>
        </w:rPr>
      </w:pPr>
      <w:bookmarkStart w:id="9" w:name="_Toc427752001"/>
      <w:r w:rsidRPr="00025AA8">
        <w:rPr>
          <w:rFonts w:ascii="IRBadr" w:hAnsi="IRBadr" w:cs="IRBadr"/>
          <w:rtl/>
        </w:rPr>
        <w:lastRenderedPageBreak/>
        <w:t>روایت دوم</w:t>
      </w:r>
      <w:bookmarkEnd w:id="9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ظاهراً سند روایت معتبر باشد؛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مُحَمَّدِ بْنِ عِ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عَلِ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حَدِ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عَنْ جَمِ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لِ بْنِ دَرَّاجٍ وَ غَ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رِهِ عَنْ أَحَدِهِمَا ع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رَجُلٍ رَجَعَ عَنِ الْإِسْلَامِ قَالَ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فَإِنْ تَابَ وَ إِلَّا قُتِلَ قِ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 لِجَمِ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لٍ فَمَا تَقُولُ إِنْ تَابَ ثُمَّ رَجَعَ عَنِ الْإِسْلَامِ قَالَ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قِ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 فَمَا تَقُولُ إِنْ تَابَ ثُمَّ رَجَعَ قَالَ لَمْ أَسْمَعْ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هَذَا شَ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ئاً وَ 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نَّهُ عِنْدِ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بِمَنْزِلَةِ الزَّانِ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الَّذِ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قَامُ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الْحَدُّ مَرَّتَ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ثُمَّ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قْتَلُ بَعْدَ ذَلِ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:" وَ قَالَ رَوَ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أَصْحَابُنَا": أَنَّ الزَّانِ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قْتَلُ فِ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الْمَرَّةِ الثَّالِثَةِ.» 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این هم به اطلاقش دلالت بر این می‌کند که مرتد چه ملی باشد چه فطری،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توبه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بر او عرضه می‌شود و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اگر قبول نکرد کشته می‌شود.</w:t>
      </w:r>
    </w:p>
    <w:p w:rsidR="0025640A" w:rsidRPr="00025AA8" w:rsidRDefault="0025640A" w:rsidP="006561FD">
      <w:pPr>
        <w:pStyle w:val="Heading2"/>
        <w:rPr>
          <w:rFonts w:ascii="IRBadr" w:hAnsi="IRBadr" w:cs="IRBadr"/>
          <w:rtl/>
        </w:rPr>
      </w:pPr>
      <w:bookmarkStart w:id="10" w:name="_Toc427752002"/>
      <w:r w:rsidRPr="00025AA8">
        <w:rPr>
          <w:rFonts w:ascii="IRBadr" w:hAnsi="IRBadr" w:cs="IRBadr"/>
          <w:rtl/>
        </w:rPr>
        <w:t>روایت سوم</w:t>
      </w:r>
      <w:bookmarkEnd w:id="10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این روایت ظاهراً معتبر نیست،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سندی نیز مرحوم صدوق به سکونی دارد که آن معتبر است.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«سَهْلُ بْنُ زِ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عَنْ مُحَمَّدِ بْنِ الْحَسَنِ بْنِ شَمُّونٍ عَنْ عَبْدِ اللَّهِ بْنِ عَبْدِ الرَّحْمَنِ عَنْ مِسْمَعِ بْنِ عَبْدِ الْمَلِ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أَمِ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رُ الْمُؤْمِنِ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الْمُرْتَدُّ تُعْزَلُ عَنْهُ امْرَأَتُهُ وَ لَا تُؤْ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لُ ذَبِ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حَتُهُ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ثَلَاثَةَ أَ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امٍ فَإِنْ تَابَ وَ إِلَّا قُتِلَ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وْمَ الرَّابِعِ.»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این هم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مطلق است، کسی که از اسلام برگردد، می‌گوید تا سه روز به او مهلت می‌دهند و توبه‌اش را می‌پذیرند، اگر توبه نکرد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آن‌وقت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می‌کشند.</w:t>
      </w:r>
    </w:p>
    <w:p w:rsidR="0025640A" w:rsidRPr="00025AA8" w:rsidRDefault="0025640A" w:rsidP="006561FD">
      <w:pPr>
        <w:pStyle w:val="Heading3"/>
        <w:rPr>
          <w:rFonts w:ascii="IRBadr" w:hAnsi="IRBadr" w:cs="IRBadr"/>
          <w:rtl/>
        </w:rPr>
      </w:pPr>
      <w:bookmarkStart w:id="11" w:name="_Toc427752003"/>
      <w:r w:rsidRPr="00025AA8">
        <w:rPr>
          <w:rFonts w:ascii="IRBadr" w:hAnsi="IRBadr" w:cs="IRBadr"/>
          <w:rtl/>
        </w:rPr>
        <w:lastRenderedPageBreak/>
        <w:t>روایات طایفه سوم</w:t>
      </w:r>
      <w:bookmarkEnd w:id="11"/>
    </w:p>
    <w:p w:rsidR="0025640A" w:rsidRPr="00025AA8" w:rsidRDefault="0025640A" w:rsidP="006561FD">
      <w:pPr>
        <w:pStyle w:val="Heading3"/>
        <w:rPr>
          <w:rFonts w:ascii="IRBadr" w:hAnsi="IRBadr" w:cs="IRBadr"/>
          <w:rtl/>
        </w:rPr>
      </w:pPr>
      <w:bookmarkStart w:id="12" w:name="_Toc427752004"/>
      <w:r w:rsidRPr="00025AA8">
        <w:rPr>
          <w:rFonts w:ascii="IRBadr" w:hAnsi="IRBadr" w:cs="IRBadr"/>
          <w:rtl/>
        </w:rPr>
        <w:t>روایت اول</w:t>
      </w:r>
      <w:bookmarkEnd w:id="12"/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جَمِ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عاً عَنِ ابْنِ مَحْبُوبٍ عَنْ هِشَامِ بْنِ سَالِمٍ عَنْ عَمَّارٍ السَّابَاطِ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سَمِعْتُ أَبَا عَبْدِ اللَّهِ ع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قُولُ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لُّ مُسْلِمٍ بَ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مُسْلِمَ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ارْتَدَّ عَنِ الْإِسْلَامِ وَ جَحَدَ مُحَمَّداً ص نُبُوَّتَهُ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ذَّبَهُ فَإِنَّ دَمَهُ مُبَاحٌ 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لِّ مَنْ سَمِعَ ذَلِ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مِنْهُ وَ امْرَأَتَهُ بَائِنَةٌ مِنْهُ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وْمَ ارْتَدَّ فَلَا تَقْرَبْهُ وَ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قْسَمُ مَالُهُ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وَرَثَتِهِ وَ تَعْتَدُّ امْرَأَتُهُ [بَعْدُ] عِدَّةَ الْمُتَوَفَّ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عَنْهَا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زوج‌ها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أَنْ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قْتُلَهُ وَ لَا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بَهُ.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این روایت </w:t>
      </w:r>
      <w:r w:rsidR="00963259"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>به‌صراحت</w:t>
      </w:r>
      <w:r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</w:t>
      </w:r>
      <w:r w:rsidR="0051189D"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>می‌گوید</w:t>
      </w:r>
      <w:r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در قبال مرتد فطری توبه قبول </w:t>
      </w:r>
      <w:r w:rsidR="0051189D"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>نمی‌شود</w:t>
      </w:r>
      <w:r w:rsidRPr="00025AA8">
        <w:rPr>
          <w:rFonts w:ascii="IRBadr" w:eastAsia="Times New Roman" w:hAnsi="IRBadr" w:cs="IRBadr"/>
          <w:sz w:val="28"/>
          <w:szCs w:val="28"/>
          <w:rtl/>
          <w:lang w:bidi="fa-IR"/>
        </w:rPr>
        <w:t>.</w:t>
      </w:r>
    </w:p>
    <w:p w:rsidR="0025640A" w:rsidRPr="00025AA8" w:rsidRDefault="0025640A" w:rsidP="006561FD">
      <w:pPr>
        <w:pStyle w:val="Heading3"/>
        <w:rPr>
          <w:rFonts w:ascii="IRBadr" w:hAnsi="IRBadr" w:cs="IRBadr"/>
          <w:rtl/>
        </w:rPr>
      </w:pPr>
      <w:bookmarkStart w:id="13" w:name="_Toc427752005"/>
      <w:r w:rsidRPr="00025AA8">
        <w:rPr>
          <w:rFonts w:ascii="IRBadr" w:hAnsi="IRBadr" w:cs="IRBadr"/>
          <w:rtl/>
        </w:rPr>
        <w:t>روایت دوم</w:t>
      </w:r>
      <w:bookmarkEnd w:id="13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ظاهراً سند روایت معتبر است؛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عَنْ عَلِ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الْحَ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 عَنْ مُوسَ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بَ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عَنِ الْفُضَ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لِ بْنِ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سَارٍ عَنْ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أَنَّ رَجُلًا مِنَ الْمُسْلِمِ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تَنَصَّرَ فَأُتِ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بِهِ أَمِ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رُ الْمُؤْمِنِ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فَاسْتَتَابَهُ فَأَبَ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فَقَبَضَ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شَعْرِهِ ثُمَّ قَالَ طَئُوا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عِبَادَ اللَّهِ فَوُطِئَ حَتَّ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مَاتَ.»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7"/>
      </w:r>
    </w:p>
    <w:p w:rsidR="0025640A" w:rsidRPr="00025AA8" w:rsidRDefault="0025640A" w:rsidP="006561FD">
      <w:pPr>
        <w:pStyle w:val="Heading3"/>
        <w:rPr>
          <w:rFonts w:ascii="IRBadr" w:hAnsi="IRBadr" w:cs="IRBadr"/>
          <w:rtl/>
        </w:rPr>
      </w:pPr>
      <w:bookmarkStart w:id="14" w:name="_Toc427752006"/>
      <w:r w:rsidRPr="00025AA8">
        <w:rPr>
          <w:rFonts w:ascii="IRBadr" w:hAnsi="IRBadr" w:cs="IRBadr"/>
          <w:rtl/>
        </w:rPr>
        <w:t>روایت سوم</w:t>
      </w:r>
      <w:bookmarkEnd w:id="14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این روایت از سند معتبری برخوردار است؛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الْعَمْرَ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عَلِ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النَّ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سَابُورِ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عَلِ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جَعْفَرٍ عَنْ أَخِ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الْحَسَنِ ع قَالَ: سَأَلْتُهُ عَنْ مُسْلِمٍ تَنَصَّرَ قَالَ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قْتَلُ وَ لَا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قُلْتُ فَنَصْرَانِ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أَسْلَمَ ثُمَّ ارْتَدَّ عَنِ الْإِسْلَامِ قَالَ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فَإِنْ رَجَعَ وَ إِلَّا قُتِلَ.»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8"/>
      </w:r>
    </w:p>
    <w:p w:rsidR="0025640A" w:rsidRPr="00025AA8" w:rsidRDefault="0025640A" w:rsidP="006561FD">
      <w:pPr>
        <w:pStyle w:val="Heading3"/>
        <w:rPr>
          <w:rFonts w:ascii="IRBadr" w:hAnsi="IRBadr" w:cs="IRBadr"/>
          <w:rtl/>
        </w:rPr>
      </w:pPr>
      <w:bookmarkStart w:id="15" w:name="_Toc427752007"/>
      <w:r w:rsidRPr="00025AA8">
        <w:rPr>
          <w:rFonts w:ascii="IRBadr" w:hAnsi="IRBadr" w:cs="IRBadr"/>
          <w:rtl/>
        </w:rPr>
        <w:lastRenderedPageBreak/>
        <w:t>روایت چهارم</w:t>
      </w:r>
      <w:bookmarkEnd w:id="15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این روایت به سند مرحوم شیخ بوده و معتبر است؛</w:t>
      </w:r>
    </w:p>
    <w:p w:rsidR="0025640A" w:rsidRPr="00025AA8" w:rsidRDefault="0025640A" w:rsidP="0025640A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«الْحُسَ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نُ بْنُ سَعِ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دٍ قَالَ قَرَأْتُ بِخَطِّ رَجُلٍ إِلَ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أَبِ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الْحَسَنِ الرِّضَا ع رَجُلٌ وُلِدَ عَلَ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الْإِسْلَامِ ثُمَّ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فَرَ وَ أَشْرَ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خَرَجَ عَنِ الْإِسْلَامِ هَلْ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سْتَتَابُ أَوْ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قْتَلُ وَ لَا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سْتَتَابُ فَ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تَبَ ع </w:t>
      </w:r>
      <w:r w:rsidR="0051189D"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قْتَلُ.» </w:t>
      </w:r>
      <w:r w:rsidRPr="00025AA8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9"/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مجموعه‌ای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از تفاصیل در این حکم بود و ظاهراً این از اختصاصات شیعه است که بین فطری و ملی فرق قائل است و الا در میان عامه حکم واحد است.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راه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جمع بین این روایات نیز اسهل و از طریق اطلاق و تقیید خواهد بود.</w:t>
      </w:r>
    </w:p>
    <w:p w:rsidR="0025640A" w:rsidRPr="00025AA8" w:rsidRDefault="0025640A" w:rsidP="006561FD">
      <w:pPr>
        <w:pStyle w:val="Heading4"/>
        <w:ind w:firstLine="0"/>
        <w:rPr>
          <w:rFonts w:ascii="IRBadr" w:hAnsi="IRBadr" w:cs="IRBadr"/>
          <w:rtl/>
        </w:rPr>
      </w:pPr>
      <w:bookmarkStart w:id="16" w:name="_Toc427752008"/>
      <w:r w:rsidRPr="00025AA8">
        <w:rPr>
          <w:rFonts w:ascii="IRBadr" w:hAnsi="IRBadr" w:cs="IRBadr"/>
          <w:rtl/>
        </w:rPr>
        <w:t>حکم مرتد فطری</w:t>
      </w:r>
      <w:bookmarkEnd w:id="16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در قبال مرتد فطری چنین حکمی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بلافاصله پس از اثبات ارتداد او،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همسرش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از او جدا خواهد شد و مانند میت اموالش تقسیم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و توبه او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پذیرفته‌نشده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و به قتل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.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این احکام مترتب بر دیگری نیستند بلکه در عرض یکدیگر قرار دارند. لذا این احکام متوقف بر قتل نیست، به خاطر اینکه در اینجا به فاء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موارد را به هم مترتب نکرده است.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لازمه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این مطلب این است که اگر او پس از ثبوت حکم نیز فرار کرد،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همسرش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از او طلاق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و سایر احکام جاری 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5640A" w:rsidRPr="00025AA8" w:rsidRDefault="0025640A" w:rsidP="006561FD">
      <w:pPr>
        <w:pStyle w:val="Heading4"/>
        <w:ind w:firstLine="0"/>
        <w:rPr>
          <w:rFonts w:ascii="IRBadr" w:hAnsi="IRBadr" w:cs="IRBadr"/>
          <w:rtl/>
        </w:rPr>
      </w:pPr>
      <w:bookmarkStart w:id="17" w:name="_Toc427752009"/>
      <w:r w:rsidRPr="00025AA8">
        <w:rPr>
          <w:rFonts w:ascii="IRBadr" w:hAnsi="IRBadr" w:cs="IRBadr"/>
          <w:rtl/>
        </w:rPr>
        <w:t>مراد از عدم پذیرش توبه</w:t>
      </w:r>
      <w:bookmarkEnd w:id="17"/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>نکته دیگری که در اینجا وجود دارد،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است که عدم پذیرش توبه از او در قبال تخفیف مجازات یا رفع آن است،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طبق نظری توبه او در قبال امر اخروی </w:t>
      </w:r>
      <w:r w:rsidR="00963259" w:rsidRPr="00025AA8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51189D" w:rsidRPr="00025AA8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طبق نظری دیگر توبه او به هیچ نحو مقبول نخواهد بود.</w:t>
      </w:r>
    </w:p>
    <w:p w:rsidR="0025640A" w:rsidRPr="00025AA8" w:rsidRDefault="0025640A" w:rsidP="002564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25AA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</w:p>
    <w:p w:rsidR="00152670" w:rsidRPr="00025AA8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25AA8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8F" w:rsidRDefault="0026558F" w:rsidP="000D5800">
      <w:pPr>
        <w:spacing w:after="0" w:line="240" w:lineRule="auto"/>
      </w:pPr>
      <w:r>
        <w:separator/>
      </w:r>
    </w:p>
  </w:endnote>
  <w:endnote w:type="continuationSeparator" w:id="0">
    <w:p w:rsidR="0026558F" w:rsidRDefault="0026558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8F" w:rsidRDefault="0026558F" w:rsidP="0050453F">
      <w:pPr>
        <w:bidi/>
        <w:spacing w:after="0" w:line="240" w:lineRule="auto"/>
      </w:pPr>
      <w:r>
        <w:separator/>
      </w:r>
    </w:p>
  </w:footnote>
  <w:footnote w:type="continuationSeparator" w:id="0">
    <w:p w:rsidR="0026558F" w:rsidRDefault="0026558F" w:rsidP="000D5800">
      <w:pPr>
        <w:spacing w:after="0" w:line="240" w:lineRule="auto"/>
      </w:pPr>
      <w:r>
        <w:continuationSeparator/>
      </w:r>
    </w:p>
  </w:footnote>
  <w:footnote w:id="1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من لا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حضره الفق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ه؛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4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104</w:t>
      </w:r>
      <w:r w:rsidR="005D470C" w:rsidRPr="005D470C">
        <w:rPr>
          <w:rFonts w:ascii="IRBadr" w:hAnsi="IRBadr" w:cs="IRBadr"/>
          <w:b/>
          <w:bCs/>
          <w:rtl/>
        </w:rPr>
        <w:t>.</w:t>
      </w:r>
      <w:bookmarkStart w:id="4" w:name="_GoBack"/>
      <w:bookmarkEnd w:id="4"/>
    </w:p>
  </w:footnote>
  <w:footnote w:id="2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تهذ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8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91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3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rtl/>
        </w:rPr>
        <w:t xml:space="preserve">- </w:t>
      </w:r>
      <w:r w:rsidRPr="005D470C">
        <w:rPr>
          <w:rFonts w:ascii="IRBadr" w:hAnsi="IRBadr" w:cs="IRBadr"/>
          <w:b/>
          <w:bCs/>
          <w:rtl/>
        </w:rPr>
        <w:t>ال</w:t>
      </w:r>
      <w:r w:rsidR="0051189D" w:rsidRPr="005D470C">
        <w:rPr>
          <w:rFonts w:ascii="IRBadr" w:hAnsi="IRBadr" w:cs="IRBadr"/>
          <w:b/>
          <w:bCs/>
          <w:rtl/>
        </w:rPr>
        <w:t>ک</w:t>
      </w:r>
      <w:r w:rsidRPr="005D470C">
        <w:rPr>
          <w:rFonts w:ascii="IRBadr" w:hAnsi="IRBadr" w:cs="IRBadr"/>
          <w:b/>
          <w:bCs/>
          <w:rtl/>
        </w:rPr>
        <w:t>اف</w:t>
      </w:r>
      <w:r w:rsidR="0051189D" w:rsidRPr="005D470C">
        <w:rPr>
          <w:rFonts w:ascii="IRBadr" w:hAnsi="IRBadr" w:cs="IRBadr"/>
          <w:b/>
          <w:bCs/>
          <w:rtl/>
        </w:rPr>
        <w:t>ی</w:t>
      </w:r>
      <w:r w:rsidRPr="005D470C">
        <w:rPr>
          <w:rFonts w:ascii="IRBadr" w:hAnsi="IRBadr" w:cs="IRBadr"/>
          <w:b/>
          <w:bCs/>
          <w:rtl/>
        </w:rPr>
        <w:t xml:space="preserve"> (ط - الإسلام</w:t>
      </w:r>
      <w:r w:rsidR="0051189D" w:rsidRPr="005D470C">
        <w:rPr>
          <w:rFonts w:ascii="IRBadr" w:hAnsi="IRBadr" w:cs="IRBadr"/>
          <w:b/>
          <w:bCs/>
          <w:rtl/>
        </w:rPr>
        <w:t>ی</w:t>
      </w:r>
      <w:r w:rsidRPr="005D470C">
        <w:rPr>
          <w:rFonts w:ascii="IRBadr" w:hAnsi="IRBadr" w:cs="IRBadr"/>
          <w:b/>
          <w:bCs/>
          <w:rtl/>
        </w:rPr>
        <w:t xml:space="preserve">ة)؛ </w:t>
      </w:r>
      <w:r w:rsidR="0051189D" w:rsidRPr="005D470C">
        <w:rPr>
          <w:rFonts w:ascii="IRBadr" w:hAnsi="IRBadr" w:cs="IRBadr"/>
          <w:b/>
          <w:bCs/>
          <w:rtl/>
        </w:rPr>
        <w:t>ج 7</w:t>
      </w:r>
      <w:r w:rsidRPr="005D470C">
        <w:rPr>
          <w:rFonts w:ascii="IRBadr" w:hAnsi="IRBadr" w:cs="IRBadr"/>
          <w:b/>
          <w:bCs/>
          <w:rtl/>
        </w:rPr>
        <w:t>، ص: 256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4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ال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اف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7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256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5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تهذ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10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138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6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ال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اف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7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258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7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ال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اف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7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256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8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ال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اف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7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257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  <w:footnote w:id="9">
    <w:p w:rsidR="0025640A" w:rsidRPr="005D470C" w:rsidRDefault="0025640A" w:rsidP="0025640A">
      <w:pPr>
        <w:pStyle w:val="FootnoteText"/>
        <w:rPr>
          <w:rFonts w:ascii="IRBadr" w:hAnsi="IRBadr" w:cs="IRBadr"/>
          <w:b/>
          <w:bCs/>
          <w:rtl/>
        </w:rPr>
      </w:pPr>
      <w:r w:rsidRPr="005D470C">
        <w:rPr>
          <w:rStyle w:val="FootnoteReference"/>
          <w:rFonts w:ascii="IRBadr" w:hAnsi="IRBadr" w:cs="IRBadr"/>
          <w:b/>
          <w:bCs/>
        </w:rPr>
        <w:footnoteRef/>
      </w:r>
      <w:r w:rsidRPr="005D470C">
        <w:rPr>
          <w:rFonts w:ascii="IRBadr" w:hAnsi="IRBadr" w:cs="IRBadr"/>
          <w:b/>
          <w:bCs/>
        </w:rPr>
        <w:t xml:space="preserve"> </w:t>
      </w:r>
      <w:r w:rsidR="005D470C" w:rsidRPr="005D470C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تهذ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ی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ک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51189D" w:rsidRPr="005D470C">
        <w:rPr>
          <w:rFonts w:ascii="IRBadr" w:hAnsi="IRBadr" w:cs="IRBadr"/>
          <w:b/>
          <w:bCs/>
          <w:color w:val="000000" w:themeColor="text1"/>
          <w:rtl/>
        </w:rPr>
        <w:t>ج 10</w:t>
      </w:r>
      <w:r w:rsidRPr="005D470C">
        <w:rPr>
          <w:rFonts w:ascii="IRBadr" w:hAnsi="IRBadr" w:cs="IRBadr"/>
          <w:b/>
          <w:bCs/>
          <w:color w:val="000000" w:themeColor="text1"/>
          <w:rtl/>
        </w:rPr>
        <w:t>، ص: 139</w:t>
      </w:r>
      <w:r w:rsidR="005D470C" w:rsidRPr="005D470C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25640A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8E3AF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25640A">
      <w:rPr>
        <w:rFonts w:ascii="IranNastaliq" w:hAnsi="IranNastaliq" w:cs="IranNastaliq" w:hint="cs"/>
        <w:sz w:val="40"/>
        <w:szCs w:val="40"/>
        <w:rtl/>
        <w:lang w:bidi="fa-IR"/>
      </w:rPr>
      <w:t>931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25AA8"/>
    <w:rsid w:val="000324F1"/>
    <w:rsid w:val="00035132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5640A"/>
    <w:rsid w:val="0026558F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094C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B337F"/>
    <w:rsid w:val="004F3596"/>
    <w:rsid w:val="004F56BA"/>
    <w:rsid w:val="0050453F"/>
    <w:rsid w:val="0051189D"/>
    <w:rsid w:val="00560405"/>
    <w:rsid w:val="00572E2D"/>
    <w:rsid w:val="00592103"/>
    <w:rsid w:val="005941DD"/>
    <w:rsid w:val="005A545E"/>
    <w:rsid w:val="005A5862"/>
    <w:rsid w:val="005B0852"/>
    <w:rsid w:val="005C06AE"/>
    <w:rsid w:val="005C0D0A"/>
    <w:rsid w:val="005D470C"/>
    <w:rsid w:val="00610C18"/>
    <w:rsid w:val="00612385"/>
    <w:rsid w:val="0061376C"/>
    <w:rsid w:val="00636EFA"/>
    <w:rsid w:val="006561FD"/>
    <w:rsid w:val="0066229C"/>
    <w:rsid w:val="00675B32"/>
    <w:rsid w:val="0069696C"/>
    <w:rsid w:val="006A085A"/>
    <w:rsid w:val="006A16F8"/>
    <w:rsid w:val="006A2CFF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6562"/>
    <w:rsid w:val="00857C21"/>
    <w:rsid w:val="008644F4"/>
    <w:rsid w:val="00883733"/>
    <w:rsid w:val="008965D2"/>
    <w:rsid w:val="008A236D"/>
    <w:rsid w:val="008A755F"/>
    <w:rsid w:val="008B524E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40192"/>
    <w:rsid w:val="009401AC"/>
    <w:rsid w:val="009613AC"/>
    <w:rsid w:val="00963259"/>
    <w:rsid w:val="00980643"/>
    <w:rsid w:val="009B46BC"/>
    <w:rsid w:val="009B61C3"/>
    <w:rsid w:val="009C7B4F"/>
    <w:rsid w:val="009F4EB3"/>
    <w:rsid w:val="009F7E77"/>
    <w:rsid w:val="00A06D48"/>
    <w:rsid w:val="00A21834"/>
    <w:rsid w:val="00A30D6C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85990"/>
    <w:rsid w:val="00C9244A"/>
    <w:rsid w:val="00CB5DA3"/>
    <w:rsid w:val="00CE31E6"/>
    <w:rsid w:val="00CE3B74"/>
    <w:rsid w:val="00CF42E2"/>
    <w:rsid w:val="00CF7916"/>
    <w:rsid w:val="00D158F3"/>
    <w:rsid w:val="00D3665C"/>
    <w:rsid w:val="00D438E4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761C2"/>
    <w:rsid w:val="00E83A85"/>
    <w:rsid w:val="00E90FC4"/>
    <w:rsid w:val="00EA01EC"/>
    <w:rsid w:val="00EA15B0"/>
    <w:rsid w:val="00EA5D97"/>
    <w:rsid w:val="00EB090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45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45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0920-BB8D-4201-9B51-66783643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89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34</cp:revision>
  <dcterms:created xsi:type="dcterms:W3CDTF">2014-12-20T10:23:00Z</dcterms:created>
  <dcterms:modified xsi:type="dcterms:W3CDTF">2015-08-20T05:12:00Z</dcterms:modified>
</cp:coreProperties>
</file>